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6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985"/>
        <w:gridCol w:w="1134"/>
      </w:tblGrid>
      <w:tr w:rsidR="000033F4" w14:paraId="33D86B00" w14:textId="77777777" w:rsidTr="00AF278B">
        <w:trPr>
          <w:jc w:val="center"/>
        </w:trPr>
        <w:tc>
          <w:tcPr>
            <w:tcW w:w="6941" w:type="dxa"/>
          </w:tcPr>
          <w:p w14:paraId="0B628490" w14:textId="77777777" w:rsidR="000033F4" w:rsidRPr="00AC0680" w:rsidRDefault="000033F4" w:rsidP="00AD62E2">
            <w:pPr>
              <w:spacing w:before="120"/>
              <w:ind w:leftChars="0" w:left="-57" w:right="-57" w:firstLineChars="0" w:firstLine="0"/>
              <w:rPr>
                <w:rFonts w:ascii="EucrosiaUPC" w:eastAsia="Tahoma" w:hAnsi="EucrosiaUPC" w:cs="EucrosiaUPC"/>
                <w:sz w:val="34"/>
                <w:szCs w:val="34"/>
              </w:rPr>
            </w:pP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ชื่อลูกค้า: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</w:rPr>
              <w:t xml:space="preserve"> 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  <w:cs/>
              </w:rPr>
              <w:t>บริษัท กขค จำกัด</w:t>
            </w:r>
          </w:p>
        </w:tc>
        <w:tc>
          <w:tcPr>
            <w:tcW w:w="1985" w:type="dxa"/>
          </w:tcPr>
          <w:p w14:paraId="5D842C5A" w14:textId="77777777" w:rsidR="000033F4" w:rsidRPr="00091DEE" w:rsidRDefault="000033F4" w:rsidP="00AF278B">
            <w:pPr>
              <w:spacing w:before="120"/>
              <w:ind w:leftChars="0" w:left="-113" w:right="-57" w:firstLineChars="0" w:firstLine="113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อ้างอิง:</w:t>
            </w:r>
          </w:p>
        </w:tc>
        <w:tc>
          <w:tcPr>
            <w:tcW w:w="1134" w:type="dxa"/>
          </w:tcPr>
          <w:p w14:paraId="32A660B2" w14:textId="77777777" w:rsidR="000033F4" w:rsidRPr="00091DEE" w:rsidRDefault="000033F4" w:rsidP="00AF278B">
            <w:pPr>
              <w:spacing w:before="120"/>
              <w:ind w:leftChars="0" w:left="-57" w:firstLineChars="0" w:firstLine="57"/>
              <w:jc w:val="both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</w:p>
        </w:tc>
      </w:tr>
      <w:tr w:rsidR="000033F4" w14:paraId="3B905F28" w14:textId="77777777" w:rsidTr="00AF278B">
        <w:trPr>
          <w:jc w:val="center"/>
        </w:trPr>
        <w:tc>
          <w:tcPr>
            <w:tcW w:w="6941" w:type="dxa"/>
          </w:tcPr>
          <w:p w14:paraId="108DACC7" w14:textId="77777777" w:rsidR="000033F4" w:rsidRPr="00AC0680" w:rsidRDefault="000033F4" w:rsidP="00AD62E2">
            <w:pPr>
              <w:spacing w:before="120"/>
              <w:ind w:leftChars="0" w:left="-113" w:right="-113" w:firstLineChars="0" w:firstLine="57"/>
              <w:rPr>
                <w:rFonts w:ascii="EucrosiaUPC" w:eastAsia="Tahoma" w:hAnsi="EucrosiaUPC" w:cs="EucrosiaUPC"/>
                <w:spacing w:val="-8"/>
                <w:sz w:val="34"/>
                <w:szCs w:val="34"/>
              </w:rPr>
            </w:pPr>
            <w:r w:rsidRPr="00AC0680">
              <w:rPr>
                <w:rFonts w:ascii="EucrosiaUPC" w:eastAsia="Tahoma" w:hAnsi="EucrosiaUPC" w:cs="EucrosiaUPC"/>
                <w:b/>
                <w:bCs/>
                <w:spacing w:val="-8"/>
                <w:sz w:val="34"/>
                <w:szCs w:val="34"/>
                <w:cs/>
              </w:rPr>
              <w:t>กระดาษทำการ:</w:t>
            </w:r>
            <w:r w:rsidRPr="00AC0680">
              <w:rPr>
                <w:rFonts w:ascii="EucrosiaUPC" w:eastAsia="Tahoma" w:hAnsi="EucrosiaUPC" w:cs="EucrosiaUPC"/>
                <w:spacing w:val="-8"/>
                <w:sz w:val="34"/>
                <w:szCs w:val="34"/>
                <w:cs/>
              </w:rPr>
              <w:t xml:space="preserve"> </w:t>
            </w:r>
            <w:r w:rsidRPr="00AD62E2">
              <w:rPr>
                <w:rFonts w:ascii="EucrosiaUPC" w:eastAsia="Tahoma" w:hAnsi="EucrosiaUPC" w:cs="EucrosiaUPC"/>
                <w:spacing w:val="-4"/>
                <w:sz w:val="34"/>
                <w:szCs w:val="34"/>
                <w:cs/>
              </w:rPr>
              <w:t>เหตุการณ์ภายหลังวันที่ในงบการเงิน (</w:t>
            </w:r>
            <w:r w:rsidRPr="00AD62E2">
              <w:rPr>
                <w:rFonts w:ascii="EucrosiaUPC" w:eastAsia="Tahoma" w:hAnsi="EucrosiaUPC" w:cs="EucrosiaUPC"/>
                <w:spacing w:val="-4"/>
                <w:sz w:val="34"/>
                <w:szCs w:val="34"/>
              </w:rPr>
              <w:t>Subsequent Events)</w:t>
            </w:r>
          </w:p>
        </w:tc>
        <w:tc>
          <w:tcPr>
            <w:tcW w:w="1985" w:type="dxa"/>
          </w:tcPr>
          <w:p w14:paraId="262A169A" w14:textId="77777777" w:rsidR="000033F4" w:rsidRPr="00091DEE" w:rsidRDefault="000033F4" w:rsidP="00AF278B">
            <w:pPr>
              <w:spacing w:before="120"/>
              <w:ind w:leftChars="0" w:left="-113" w:right="-57" w:firstLineChars="0" w:firstLine="113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จัดทำโดย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: </w:t>
            </w:r>
          </w:p>
        </w:tc>
        <w:tc>
          <w:tcPr>
            <w:tcW w:w="1134" w:type="dxa"/>
          </w:tcPr>
          <w:p w14:paraId="37B1D049" w14:textId="77777777" w:rsidR="000033F4" w:rsidRPr="00091DEE" w:rsidRDefault="000033F4" w:rsidP="00AF278B">
            <w:pPr>
              <w:spacing w:before="120"/>
              <w:ind w:leftChars="0" w:left="-57" w:firstLineChars="0" w:firstLine="57"/>
              <w:jc w:val="both"/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  <w:lang w:val="en-GB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วันที่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>:</w:t>
            </w:r>
          </w:p>
        </w:tc>
      </w:tr>
      <w:tr w:rsidR="000033F4" w14:paraId="173EEF6D" w14:textId="77777777" w:rsidTr="00AF278B">
        <w:trPr>
          <w:jc w:val="center"/>
        </w:trPr>
        <w:tc>
          <w:tcPr>
            <w:tcW w:w="6941" w:type="dxa"/>
          </w:tcPr>
          <w:p w14:paraId="2C9F44D2" w14:textId="77777777" w:rsidR="000033F4" w:rsidRPr="00AC0680" w:rsidRDefault="000033F4" w:rsidP="00AD62E2">
            <w:pPr>
              <w:spacing w:before="120"/>
              <w:ind w:leftChars="0" w:left="-57" w:right="-57" w:firstLineChars="0" w:firstLine="0"/>
              <w:rPr>
                <w:rFonts w:ascii="EucrosiaUPC" w:eastAsia="Tahoma" w:hAnsi="EucrosiaUPC" w:cs="EucrosiaUPC"/>
                <w:sz w:val="34"/>
                <w:szCs w:val="34"/>
              </w:rPr>
            </w:pP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 </w:t>
            </w: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รอบระยะเวลาบัญชี</w:t>
            </w: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 </w:t>
            </w:r>
            <w:r w:rsidRPr="00AC0680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: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  <w:cs/>
              </w:rPr>
              <w:t xml:space="preserve"> 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</w:rPr>
              <w:t xml:space="preserve">31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  <w:cs/>
              </w:rPr>
              <w:t xml:space="preserve">ธันวาคม </w:t>
            </w:r>
            <w:r w:rsidRPr="00AC0680">
              <w:rPr>
                <w:rFonts w:ascii="EucrosiaUPC" w:eastAsia="Tahoma" w:hAnsi="EucrosiaUPC" w:cs="EucrosiaUPC"/>
                <w:sz w:val="34"/>
                <w:szCs w:val="34"/>
              </w:rPr>
              <w:t>25XX</w:t>
            </w:r>
          </w:p>
        </w:tc>
        <w:tc>
          <w:tcPr>
            <w:tcW w:w="1985" w:type="dxa"/>
          </w:tcPr>
          <w:p w14:paraId="751FE41C" w14:textId="77777777" w:rsidR="000033F4" w:rsidRPr="00091DEE" w:rsidRDefault="000033F4" w:rsidP="00AF278B">
            <w:pPr>
              <w:spacing w:before="120"/>
              <w:ind w:leftChars="0" w:left="-113" w:right="-57" w:firstLineChars="0" w:firstLine="113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สอบทานโดย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 xml:space="preserve">: </w:t>
            </w:r>
          </w:p>
        </w:tc>
        <w:tc>
          <w:tcPr>
            <w:tcW w:w="1134" w:type="dxa"/>
          </w:tcPr>
          <w:p w14:paraId="637EEC5F" w14:textId="77777777" w:rsidR="000033F4" w:rsidRPr="00091DEE" w:rsidRDefault="000033F4" w:rsidP="00AF278B">
            <w:pPr>
              <w:spacing w:before="120"/>
              <w:ind w:leftChars="0" w:left="-57" w:firstLineChars="0" w:firstLine="57"/>
              <w:jc w:val="both"/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</w:pP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  <w:cs/>
              </w:rPr>
              <w:t>วันที่</w:t>
            </w:r>
            <w:r w:rsidRPr="00091DEE">
              <w:rPr>
                <w:rFonts w:ascii="EucrosiaUPC" w:eastAsia="Tahoma" w:hAnsi="EucrosiaUPC" w:cs="EucrosiaUPC"/>
                <w:b/>
                <w:bCs/>
                <w:sz w:val="34"/>
                <w:szCs w:val="34"/>
              </w:rPr>
              <w:t>:</w:t>
            </w:r>
          </w:p>
        </w:tc>
      </w:tr>
    </w:tbl>
    <w:p w14:paraId="5546AB58" w14:textId="77777777" w:rsidR="000033F4" w:rsidRPr="00AF278B" w:rsidRDefault="000033F4" w:rsidP="00AF278B">
      <w:pPr>
        <w:spacing w:after="0"/>
        <w:ind w:left="0" w:hanging="2"/>
        <w:rPr>
          <w:rFonts w:ascii="EucrosiaUPC" w:eastAsia="Tahoma" w:hAnsi="EucrosiaUPC" w:cs="EucrosiaUPC"/>
          <w:b/>
          <w:bCs/>
          <w:sz w:val="20"/>
          <w:szCs w:val="20"/>
          <w:u w:val="single"/>
        </w:rPr>
      </w:pPr>
    </w:p>
    <w:p w14:paraId="67476374" w14:textId="4CEBBCBB" w:rsidR="00942E04" w:rsidRPr="00AF278B" w:rsidRDefault="003867ED" w:rsidP="00AF278B">
      <w:pPr>
        <w:spacing w:after="120" w:line="240" w:lineRule="auto"/>
        <w:ind w:left="1" w:hanging="3"/>
        <w:rPr>
          <w:rFonts w:ascii="EucrosiaUPC" w:eastAsia="Tahoma" w:hAnsi="EucrosiaUPC" w:cs="EucrosiaUPC"/>
          <w:b/>
          <w:bCs/>
          <w:sz w:val="32"/>
          <w:szCs w:val="32"/>
          <w:u w:val="single"/>
        </w:rPr>
      </w:pPr>
      <w:r w:rsidRPr="00AF278B">
        <w:rPr>
          <w:rFonts w:ascii="EucrosiaUPC" w:eastAsia="Tahoma" w:hAnsi="EucrosiaUPC" w:cs="EucrosiaUPC"/>
          <w:b/>
          <w:bCs/>
          <w:sz w:val="32"/>
          <w:szCs w:val="32"/>
          <w:u w:val="single"/>
          <w:cs/>
        </w:rPr>
        <w:t>วัตถุประสงค์</w:t>
      </w:r>
    </w:p>
    <w:p w14:paraId="0AB426E8" w14:textId="3F6E26AF" w:rsidR="003867ED" w:rsidRDefault="003867ED" w:rsidP="00F565FD">
      <w:pPr>
        <w:spacing w:after="0" w:line="240" w:lineRule="auto"/>
        <w:ind w:leftChars="1" w:left="284" w:hangingChars="88" w:hanging="282"/>
        <w:jc w:val="thaiDistribute"/>
        <w:rPr>
          <w:rFonts w:ascii="EucrosiaUPC" w:eastAsia="Tahoma" w:hAnsi="EucrosiaUPC" w:cs="EucrosiaUPC"/>
          <w:sz w:val="32"/>
          <w:szCs w:val="32"/>
        </w:rPr>
      </w:pPr>
      <w:r>
        <w:rPr>
          <w:rFonts w:ascii="EucrosiaUPC" w:eastAsia="Tahoma" w:hAnsi="EucrosiaUPC" w:cs="EucrosiaUPC"/>
          <w:sz w:val="32"/>
          <w:szCs w:val="32"/>
        </w:rPr>
        <w:t>1.</w:t>
      </w:r>
      <w:r w:rsidR="006E2F41">
        <w:rPr>
          <w:rFonts w:ascii="EucrosiaUPC" w:eastAsia="Tahoma" w:hAnsi="EucrosiaUPC" w:cs="EucrosiaUPC" w:hint="cs"/>
          <w:sz w:val="32"/>
          <w:szCs w:val="32"/>
          <w:cs/>
        </w:rPr>
        <w:t xml:space="preserve"> </w:t>
      </w:r>
      <w:r>
        <w:rPr>
          <w:rFonts w:ascii="EucrosiaUPC" w:eastAsia="Tahoma" w:hAnsi="EucrosiaUPC" w:cs="EucrosiaUPC" w:hint="cs"/>
          <w:sz w:val="32"/>
          <w:szCs w:val="32"/>
          <w:cs/>
        </w:rPr>
        <w:t>เพื่อให้ได้รับหลักฐานที่เหมาะสมอย่างเพียงพอ ว่างบการเงินได้สะท้อนเหตุการณ์ที่เกิดขึ้นระหว่างวันที่ในงบการเงินและวันที่ในรายงานของผู้สอบบัญชี ซึ่งต้องปรับปรุงหรือเปิดเผยข้อมูลในงบการเงินตามมาตรฐานการรายงานทางการเงินที่เกี่ยวข้อง</w:t>
      </w:r>
    </w:p>
    <w:p w14:paraId="387467B8" w14:textId="4E9F90CA" w:rsidR="003867ED" w:rsidRDefault="003867ED" w:rsidP="00F565FD">
      <w:pPr>
        <w:spacing w:line="240" w:lineRule="auto"/>
        <w:ind w:leftChars="1" w:left="284" w:hangingChars="88" w:hanging="282"/>
        <w:jc w:val="thaiDistribute"/>
        <w:rPr>
          <w:rFonts w:ascii="EucrosiaUPC" w:eastAsia="Tahoma" w:hAnsi="EucrosiaUPC" w:cs="EucrosiaUPC"/>
          <w:sz w:val="32"/>
          <w:szCs w:val="32"/>
          <w:cs/>
        </w:rPr>
      </w:pPr>
      <w:r>
        <w:rPr>
          <w:rFonts w:ascii="EucrosiaUPC" w:eastAsia="Tahoma" w:hAnsi="EucrosiaUPC" w:cs="EucrosiaUPC"/>
          <w:sz w:val="32"/>
          <w:szCs w:val="32"/>
        </w:rPr>
        <w:t>2.</w:t>
      </w:r>
      <w:r w:rsidR="006E2F41">
        <w:rPr>
          <w:rFonts w:ascii="EucrosiaUPC" w:eastAsia="Tahoma" w:hAnsi="EucrosiaUPC" w:cs="EucrosiaUPC" w:hint="cs"/>
          <w:sz w:val="32"/>
          <w:szCs w:val="32"/>
          <w:cs/>
        </w:rPr>
        <w:t xml:space="preserve"> เพื่อตอบสนองอย่างเหมาะสมต่อข้อเท็จจริงที่ผู้สอบบัญชีได้พบภายหลังวันที่ในรายงานของผู้สอบบัญชี ที่อาจจำเป็น</w:t>
      </w:r>
      <w:r w:rsidR="009051F4">
        <w:rPr>
          <w:rFonts w:ascii="EucrosiaUPC" w:eastAsia="Tahoma" w:hAnsi="EucrosiaUPC" w:cs="EucrosiaUPC" w:hint="cs"/>
          <w:sz w:val="32"/>
          <w:szCs w:val="32"/>
          <w:cs/>
        </w:rPr>
        <w:t>หาก</w:t>
      </w:r>
      <w:r w:rsidR="006E2F41">
        <w:rPr>
          <w:rFonts w:ascii="EucrosiaUPC" w:eastAsia="Tahoma" w:hAnsi="EucrosiaUPC" w:cs="EucrosiaUPC" w:hint="cs"/>
          <w:sz w:val="32"/>
          <w:szCs w:val="32"/>
          <w:cs/>
        </w:rPr>
        <w:t xml:space="preserve">ต้องเสนอรายงานในแบบที่เปลี่ยนแปลงไป </w:t>
      </w:r>
    </w:p>
    <w:tbl>
      <w:tblPr>
        <w:tblStyle w:val="a0"/>
        <w:tblW w:w="103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237"/>
        <w:gridCol w:w="1559"/>
        <w:gridCol w:w="1518"/>
      </w:tblGrid>
      <w:tr w:rsidR="0002252D" w:rsidRPr="00620EEB" w14:paraId="6CA1A511" w14:textId="77777777" w:rsidTr="00AF278B">
        <w:trPr>
          <w:tblHeader/>
        </w:trPr>
        <w:tc>
          <w:tcPr>
            <w:tcW w:w="993" w:type="dxa"/>
            <w:shd w:val="clear" w:color="auto" w:fill="F2F2F2" w:themeFill="background1" w:themeFillShade="F2"/>
          </w:tcPr>
          <w:p w14:paraId="38BF4F87" w14:textId="77777777" w:rsidR="0002252D" w:rsidRPr="00AF278B" w:rsidRDefault="0002252D" w:rsidP="00AF278B">
            <w:pPr>
              <w:spacing w:after="0" w:line="216" w:lineRule="auto"/>
              <w:ind w:leftChars="0" w:left="-51" w:right="-57" w:firstLineChars="0" w:hanging="6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</w:p>
          <w:p w14:paraId="1E5AC796" w14:textId="77777777" w:rsidR="0002252D" w:rsidRPr="00AF278B" w:rsidRDefault="0002252D" w:rsidP="00AF278B">
            <w:pPr>
              <w:spacing w:after="0" w:line="216" w:lineRule="auto"/>
              <w:ind w:leftChars="0" w:left="-51" w:right="-57" w:firstLineChars="0" w:hanging="6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BA77B4B" w14:textId="77777777" w:rsidR="0002252D" w:rsidRPr="00AF278B" w:rsidRDefault="0002252D" w:rsidP="00AF278B">
            <w:pPr>
              <w:spacing w:after="0" w:line="216" w:lineRule="auto"/>
              <w:ind w:leftChars="0" w:left="-51" w:right="-57" w:firstLineChars="0" w:hanging="6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</w:p>
          <w:p w14:paraId="0331AFC3" w14:textId="77777777" w:rsidR="0002252D" w:rsidRPr="00AF278B" w:rsidRDefault="0002252D" w:rsidP="00AF278B">
            <w:pPr>
              <w:spacing w:after="0" w:line="216" w:lineRule="auto"/>
              <w:ind w:leftChars="0" w:left="-51" w:right="-57" w:firstLineChars="0" w:hanging="6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วิธีการตรวจสอบ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307235" w14:textId="11954DE3" w:rsidR="0002252D" w:rsidRPr="00AF278B" w:rsidRDefault="0002252D" w:rsidP="00AF278B">
            <w:pPr>
              <w:spacing w:after="0" w:line="216" w:lineRule="auto"/>
              <w:ind w:leftChars="0" w:left="-51" w:right="-57" w:firstLineChars="0" w:hanging="6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อ้างอิง</w:t>
            </w:r>
            <w:r w:rsidR="003467C6" w:rsidRPr="00AF278B"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  <w:br/>
            </w:r>
            <w:r w:rsidRPr="00AF278B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กระดาษทำการ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14:paraId="64BF26B9" w14:textId="77777777" w:rsidR="003467C6" w:rsidRPr="00AF278B" w:rsidRDefault="003467C6" w:rsidP="00AF278B">
            <w:pPr>
              <w:spacing w:after="0" w:line="216" w:lineRule="auto"/>
              <w:ind w:leftChars="0" w:left="-51" w:right="-57" w:firstLineChars="0" w:hanging="6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</w:p>
          <w:p w14:paraId="3E34049C" w14:textId="0C74E014" w:rsidR="0002252D" w:rsidRPr="00AF278B" w:rsidRDefault="0002252D" w:rsidP="00AF278B">
            <w:pPr>
              <w:spacing w:after="0" w:line="216" w:lineRule="auto"/>
              <w:ind w:leftChars="0" w:left="-51" w:right="-57" w:firstLineChars="0" w:hanging="6"/>
              <w:jc w:val="center"/>
              <w:rPr>
                <w:rFonts w:ascii="EucrosiaUPC" w:eastAsia="Tahoma" w:hAnsi="EucrosiaUPC" w:cs="EucrosiaUPC"/>
                <w:b/>
                <w:bCs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252D" w:rsidRPr="00620EEB" w14:paraId="1903DBA5" w14:textId="77777777" w:rsidTr="00AF278B">
        <w:tc>
          <w:tcPr>
            <w:tcW w:w="993" w:type="dxa"/>
          </w:tcPr>
          <w:p w14:paraId="1046798F" w14:textId="77777777" w:rsidR="0002252D" w:rsidRPr="00620EEB" w:rsidRDefault="0002252D">
            <w:pPr>
              <w:spacing w:after="0" w:line="240" w:lineRule="auto"/>
              <w:ind w:left="1" w:hanging="3"/>
              <w:jc w:val="center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6237" w:type="dxa"/>
          </w:tcPr>
          <w:p w14:paraId="7AB22A81" w14:textId="77777777" w:rsidR="0002252D" w:rsidRPr="00AF278B" w:rsidRDefault="0002252D" w:rsidP="0081740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b/>
                <w:bCs/>
                <w:spacing w:val="-4"/>
                <w:sz w:val="32"/>
                <w:szCs w:val="32"/>
                <w:u w:val="single"/>
              </w:rPr>
            </w:pPr>
            <w:r w:rsidRPr="00AF278B">
              <w:rPr>
                <w:rFonts w:ascii="EucrosiaUPC" w:eastAsia="Tahoma" w:hAnsi="EucrosiaUPC" w:cs="EucrosiaUPC"/>
                <w:b/>
                <w:bCs/>
                <w:spacing w:val="-4"/>
                <w:sz w:val="32"/>
                <w:szCs w:val="32"/>
                <w:u w:val="single"/>
                <w:cs/>
              </w:rPr>
              <w:t>เหตุการณ์ภายหลังวันที่ในงบการเงิน</w:t>
            </w:r>
          </w:p>
          <w:p w14:paraId="2015829D" w14:textId="11D2932A" w:rsidR="0002252D" w:rsidRPr="00AF278B" w:rsidRDefault="0002252D" w:rsidP="00AF278B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t>1.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 xml:space="preserve">ทำการสอบทานเหตุการณ์ภายหลังวันที่ในรายงานของผู้สอบบัญชี 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t>(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การสรุปผลการตรวจสอบ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t xml:space="preserve">) 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วิธีการตรวจสอบ</w:t>
            </w:r>
            <w:r w:rsidR="00495B8A"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อาจ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 xml:space="preserve">รวมถึงวิธีการต่อไปนี้ </w:t>
            </w:r>
          </w:p>
          <w:p w14:paraId="74407C4D" w14:textId="77777777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68ED89CF" w14:textId="3D718474" w:rsidR="0002252D" w:rsidRPr="00006F93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ก.ตรวจสอบบันทึกเงินสดรับ</w:t>
            </w:r>
            <w:r w:rsidRPr="00006F93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 xml:space="preserve">สำหรับงวดหลังวันที่ในงบการเงิน </w:t>
            </w:r>
            <w:r w:rsidR="00E42C4B" w:rsidRPr="00006F93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เช่น</w:t>
            </w:r>
            <w:r w:rsidR="00E42C4B" w:rsidRPr="00006F93">
              <w:rPr>
                <w:rFonts w:ascii="EucrosiaUPC" w:eastAsia="Tahoma" w:hAnsi="EucrosiaUPC" w:cs="EucrosiaUPC" w:hint="cs"/>
                <w:spacing w:val="-4"/>
                <w:sz w:val="32"/>
                <w:szCs w:val="32"/>
                <w:cs/>
              </w:rPr>
              <w:t xml:space="preserve"> </w:t>
            </w:r>
            <w:r w:rsidRPr="00006F93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 xml:space="preserve">หลักฐานการรับเงินกู้ยืมเงิน การขายสินทรัพย์ที่มีนัยสำคัญ </w:t>
            </w:r>
            <w:r w:rsidR="00E42C4B" w:rsidRPr="00006F93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เป็นต้น</w:t>
            </w:r>
          </w:p>
          <w:p w14:paraId="7BCCC381" w14:textId="77777777" w:rsidR="0002252D" w:rsidRPr="00006F93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79752EFC" w14:textId="1CCBD8F6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ข.ตรวจสอบเงินสดจ่ายภายหลังวันที่ในงบการเงิน เพื่อหารายการจ่าย</w:t>
            </w:r>
            <w:r w:rsidR="007E5201" w:rsidRPr="007E5201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br/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ที่ผิดปกติอย่างมีนัยสำคัญ</w:t>
            </w:r>
          </w:p>
          <w:p w14:paraId="1F9874F5" w14:textId="77777777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36CB94C6" w14:textId="534F289D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ค.สอบทานสมุดรายวันขายและบัญชีลูกหนี้การค้ารายตัว สำหรับรายการรับคืนสินค้า ใบลดหนี้ หรือการลดหนี้ที่มีจำนวนมาก ที่อาจส่งผลต่อ</w:t>
            </w:r>
            <w:r w:rsidR="007E5201" w:rsidRPr="007E5201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br/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งบการเงินในรอบ</w:t>
            </w:r>
            <w:r w:rsidR="000B171B"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บัญชี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 xml:space="preserve">ที่ตรวจสอบ  </w:t>
            </w:r>
          </w:p>
          <w:p w14:paraId="3B174B7E" w14:textId="77777777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07B7F944" w14:textId="77777777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ง.สอบทานการบันทึกบัญชีในสมุดรายวันทั่วไปสำหรับรายการที่ไม่เป็นปกติ ที่อาจส่งผลต่องบการเงินในรอบ</w:t>
            </w:r>
            <w:r w:rsidR="000B171B"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บัญชี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ที่ตรวจสอบ</w:t>
            </w:r>
          </w:p>
          <w:p w14:paraId="37E26D09" w14:textId="77777777" w:rsidR="0002252D" w:rsidRPr="00AF278B" w:rsidRDefault="0002252D">
            <w:pPr>
              <w:spacing w:after="0" w:line="240" w:lineRule="auto"/>
              <w:ind w:leftChars="0" w:left="1" w:firstLineChars="0" w:firstLine="0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047DC91E" w14:textId="7C2A5116" w:rsidR="0002252D" w:rsidRPr="00AF278B" w:rsidRDefault="0002252D" w:rsidP="00AF278B">
            <w:pPr>
              <w:spacing w:after="0" w:line="240" w:lineRule="auto"/>
              <w:ind w:leftChars="0" w:left="0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จ.อ่านรายงานการประชุม ที่จัด</w:t>
            </w:r>
            <w:r w:rsidR="00C61080"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ให้มี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ขึ้นภายหลังวันที่ในงบการเงินจนถึง</w:t>
            </w:r>
            <w:r w:rsidR="002155A3"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สิ้นสุด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การตรวจสอบสำหรับเหตุการณ์ที่เป็นไปได้ภายหลังวันที่ใน</w:t>
            </w:r>
            <w:r w:rsidR="007E5201"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br/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งบการเงิน</w:t>
            </w:r>
          </w:p>
          <w:p w14:paraId="68992504" w14:textId="77777777" w:rsidR="0002252D" w:rsidRPr="00AF278B" w:rsidRDefault="0002252D" w:rsidP="00AF278B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562DEF3B" w14:textId="77777777" w:rsidR="0002252D" w:rsidRPr="00AF278B" w:rsidRDefault="0002252D" w:rsidP="00AF278B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lastRenderedPageBreak/>
              <w:t>ฉ.อ่านงบการเงินหรือรายงานทางการเงินที่มีนัยสำคัญ ซึ่งมีการจัดทำตั้งแต่วันที่ในงบการเงิน</w:t>
            </w:r>
          </w:p>
          <w:p w14:paraId="3B3F9009" w14:textId="77777777" w:rsidR="0002252D" w:rsidRPr="00AF278B" w:rsidRDefault="0002252D" w:rsidP="005669DE">
            <w:pPr>
              <w:spacing w:after="0" w:line="240" w:lineRule="auto"/>
              <w:ind w:leftChars="0" w:left="1" w:firstLineChars="0" w:firstLine="0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</w:p>
          <w:p w14:paraId="075311AD" w14:textId="77777777" w:rsidR="00D54DBF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ช.สอบถามผู้บริหารหรือเจ้าของกิจการถึงการมีอยู่ของเหตุการณ์ที่มีนัยสำคัญ ภายหลังวันที่ในงบการเงิน เช่น กิจการมีแผนที่จะขายหรือควบรวมกิจการ ผลขาดทุนหรือการด้อยค่าของสินทรัพย์</w:t>
            </w:r>
          </w:p>
          <w:p w14:paraId="10858ECD" w14:textId="7B2E1A39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  <w:u w:val="single"/>
              </w:rPr>
            </w:pP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</w:rPr>
              <w:t>(</w:t>
            </w: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เช่น หลักทรัพย์ หรือ สินทรัพย์ภาษีเงินได้รอการตัดบัญชี</w:t>
            </w: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</w:rPr>
              <w:t>)</w:t>
            </w: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 xml:space="preserve"> ผลขาดทุนจากลูกค้ารายใหญ่หลังวันที่ในงบการเงิน สอบถามถึงสถานะของรายการที่ไม่แน่นอน ณ วันที่ในงบการเงิน</w:t>
            </w:r>
          </w:p>
          <w:p w14:paraId="6EC406AB" w14:textId="77777777" w:rsidR="0002252D" w:rsidRPr="00AF278B" w:rsidRDefault="0002252D" w:rsidP="005669DE">
            <w:pPr>
              <w:spacing w:after="0" w:line="240" w:lineRule="auto"/>
              <w:ind w:leftChars="0" w:left="1" w:firstLineChars="0" w:firstLine="0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</w:p>
          <w:p w14:paraId="7140B0CD" w14:textId="77777777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  <w:u w:val="single"/>
              </w:rPr>
            </w:pP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ฌ.ทำความเข้าใจวัตถุประสงค์ทางธุรกิจของเหตุการณ์ที่มีนัยสำคัญภายหลังวันที่ในงบการเงิน</w:t>
            </w:r>
          </w:p>
          <w:p w14:paraId="59CB8ADA" w14:textId="77777777" w:rsidR="0002252D" w:rsidRPr="00AF278B" w:rsidRDefault="0002252D" w:rsidP="005669DE">
            <w:pPr>
              <w:spacing w:after="0" w:line="240" w:lineRule="auto"/>
              <w:ind w:leftChars="0" w:left="1" w:firstLineChars="0" w:firstLine="0"/>
              <w:rPr>
                <w:rFonts w:ascii="EucrosiaUPC" w:hAnsi="EucrosiaUPC" w:cs="EucrosiaUPC"/>
                <w:spacing w:val="-4"/>
                <w:sz w:val="32"/>
                <w:szCs w:val="32"/>
              </w:rPr>
            </w:pPr>
          </w:p>
          <w:p w14:paraId="709ABA10" w14:textId="6C9C4401" w:rsidR="0002252D" w:rsidRPr="00AF278B" w:rsidRDefault="0002252D" w:rsidP="00AF278B">
            <w:pPr>
              <w:spacing w:after="0" w:line="240" w:lineRule="auto"/>
              <w:ind w:leftChars="0" w:left="1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  <w:u w:val="single"/>
              </w:rPr>
            </w:pP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ญ.สรุปผลเกี่ยวกับเหตุการณ์ภายหลังวันที่ในงบการเงินลงใน</w:t>
            </w:r>
            <w:r w:rsidR="007E5201">
              <w:rPr>
                <w:rFonts w:ascii="EucrosiaUPC" w:hAnsi="EucrosiaUPC" w:cs="EucrosiaUPC"/>
                <w:spacing w:val="-4"/>
                <w:sz w:val="32"/>
                <w:szCs w:val="32"/>
              </w:rPr>
              <w:br/>
            </w:r>
            <w:r w:rsidRPr="00AF278B">
              <w:rPr>
                <w:rFonts w:ascii="EucrosiaUPC" w:hAnsi="EucrosiaUPC" w:cs="EucrosiaUPC"/>
                <w:spacing w:val="-4"/>
                <w:sz w:val="32"/>
                <w:szCs w:val="32"/>
                <w:cs/>
              </w:rPr>
              <w:t>กระดาษทำการ เพื่อเปิดเผยในหมายเหตุประกอบงบการเงิน</w:t>
            </w:r>
          </w:p>
          <w:p w14:paraId="7AE0F517" w14:textId="77777777" w:rsidR="0002252D" w:rsidRPr="00AF278B" w:rsidRDefault="0002252D" w:rsidP="0081740D">
            <w:pPr>
              <w:spacing w:after="0" w:line="240" w:lineRule="auto"/>
              <w:ind w:leftChars="0" w:left="0" w:firstLineChars="0" w:firstLine="0"/>
              <w:rPr>
                <w:rFonts w:ascii="EucrosiaUPC" w:eastAsia="Tahoma" w:hAnsi="EucrosiaUPC" w:cs="EucrosiaUPC"/>
                <w:spacing w:val="-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14:paraId="2327682C" w14:textId="77777777" w:rsidR="0002252D" w:rsidRPr="00620EEB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1518" w:type="dxa"/>
          </w:tcPr>
          <w:p w14:paraId="39D41A5B" w14:textId="77777777" w:rsidR="0002252D" w:rsidRPr="00620EEB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</w:tr>
      <w:tr w:rsidR="0002252D" w:rsidRPr="00620EEB" w14:paraId="67039864" w14:textId="77777777" w:rsidTr="00AF278B">
        <w:tc>
          <w:tcPr>
            <w:tcW w:w="993" w:type="dxa"/>
          </w:tcPr>
          <w:p w14:paraId="440E0077" w14:textId="77777777" w:rsidR="0002252D" w:rsidRPr="007E5201" w:rsidRDefault="0002252D">
            <w:pPr>
              <w:spacing w:after="0" w:line="240" w:lineRule="auto"/>
              <w:ind w:left="1" w:hanging="3"/>
              <w:jc w:val="center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8349F8F" w14:textId="77777777" w:rsidR="004F106F" w:rsidRPr="00AF278B" w:rsidRDefault="004F106F">
            <w:pPr>
              <w:spacing w:after="0" w:line="240" w:lineRule="auto"/>
              <w:rPr>
                <w:rFonts w:ascii="EucrosiaUPC" w:eastAsia="Tahoma" w:hAnsi="EucrosiaUPC" w:cs="EucrosiaUPC"/>
                <w:b/>
                <w:bCs/>
                <w:sz w:val="14"/>
                <w:szCs w:val="14"/>
                <w:u w:val="single"/>
              </w:rPr>
            </w:pPr>
          </w:p>
          <w:p w14:paraId="45DA11FB" w14:textId="77777777" w:rsidR="0002252D" w:rsidRPr="007E5201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b/>
                <w:bCs/>
                <w:sz w:val="32"/>
                <w:szCs w:val="32"/>
                <w:u w:val="single"/>
              </w:rPr>
            </w:pPr>
            <w:r w:rsidRPr="007E5201">
              <w:rPr>
                <w:rFonts w:ascii="EucrosiaUPC" w:eastAsia="Tahoma" w:hAnsi="EucrosiaUPC" w:cs="EucrosiaUPC"/>
                <w:b/>
                <w:bCs/>
                <w:sz w:val="32"/>
                <w:szCs w:val="32"/>
                <w:u w:val="single"/>
                <w:cs/>
              </w:rPr>
              <w:t>ภาระผูกพันและหนี้สินที่อาจเกิดขึ้น</w:t>
            </w:r>
          </w:p>
          <w:p w14:paraId="59F0ACA3" w14:textId="77777777" w:rsidR="004F106F" w:rsidRPr="00AF278B" w:rsidRDefault="004F106F">
            <w:pPr>
              <w:spacing w:after="0" w:line="240" w:lineRule="auto"/>
              <w:ind w:left="0" w:hanging="2"/>
              <w:rPr>
                <w:rFonts w:ascii="EucrosiaUPC" w:eastAsia="Tahoma" w:hAnsi="EucrosiaUPC" w:cs="EucrosiaUPC"/>
                <w:sz w:val="16"/>
                <w:szCs w:val="16"/>
              </w:rPr>
            </w:pPr>
          </w:p>
          <w:p w14:paraId="011BDCFC" w14:textId="77777777" w:rsidR="004F106F" w:rsidRPr="007E5201" w:rsidRDefault="0002252D" w:rsidP="004F106F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ตรวจหาภาระผูกพันและหนี้สินที่อาจเกิดขึ้น โดย</w:t>
            </w:r>
          </w:p>
          <w:p w14:paraId="24F95503" w14:textId="63108585" w:rsidR="0002252D" w:rsidRPr="00AF278B" w:rsidRDefault="0002252D" w:rsidP="00AF278B">
            <w:pPr>
              <w:spacing w:after="0" w:line="240" w:lineRule="auto"/>
              <w:ind w:leftChars="0" w:left="0" w:firstLineChars="0" w:firstLine="0"/>
              <w:jc w:val="thaiDistribute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7E5201">
              <w:rPr>
                <w:rFonts w:ascii="EucrosiaUPC" w:eastAsia="Tahoma" w:hAnsi="EucrosiaUPC" w:cs="EucrosiaUPC"/>
                <w:sz w:val="32"/>
                <w:szCs w:val="32"/>
              </w:rPr>
              <w:t>1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t>.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สอบทานผลจากการตรวจสอบบัญชีที่เฉพาะเจาะจง หรือ</w:t>
            </w:r>
            <w:r w:rsidR="003B4C9B"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ก</w:t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ระบวนการตรวจสอบทั่วไปสำหรับการตรวจสอบความมีอยู่จริงของภาระผูกพันและหนี้สินที่อาจเกิดขึ้น</w:t>
            </w:r>
          </w:p>
          <w:p w14:paraId="0C3F270A" w14:textId="77777777" w:rsidR="0002252D" w:rsidRPr="007E5201" w:rsidRDefault="0002252D" w:rsidP="007066F1">
            <w:pPr>
              <w:spacing w:after="0" w:line="240" w:lineRule="auto"/>
              <w:ind w:leftChars="0" w:left="0" w:firstLineChars="0" w:firstLine="0"/>
              <w:rPr>
                <w:rFonts w:ascii="EucrosiaUPC" w:eastAsia="Tahoma" w:hAnsi="EucrosiaUPC" w:cs="EucrosiaUPC"/>
                <w:sz w:val="32"/>
                <w:szCs w:val="32"/>
              </w:rPr>
            </w:pPr>
          </w:p>
          <w:p w14:paraId="6DC96C88" w14:textId="77777777" w:rsidR="0002252D" w:rsidRPr="007E5201" w:rsidRDefault="0002252D" w:rsidP="007066F1">
            <w:pPr>
              <w:spacing w:after="0" w:line="240" w:lineRule="auto"/>
              <w:ind w:leftChars="2" w:left="4" w:firstLineChars="0" w:firstLine="0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7E5201">
              <w:rPr>
                <w:rFonts w:ascii="EucrosiaUPC" w:eastAsia="Tahoma" w:hAnsi="EucrosiaUPC" w:cs="EucrosiaUPC"/>
                <w:sz w:val="32"/>
                <w:szCs w:val="32"/>
              </w:rPr>
              <w:t>2.</w:t>
            </w:r>
            <w:r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สอบถามผู้บริหารสำหรับความเป็นไปได้ที่จะไม่ได้บันทึกภาระผูกพันและหนี้สินที่อาจเกิดขึ้น เช่น</w:t>
            </w:r>
          </w:p>
          <w:p w14:paraId="0DDB9B22" w14:textId="09F45846" w:rsidR="003B4C9B" w:rsidRPr="00AF278B" w:rsidRDefault="0002252D" w:rsidP="00AF27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3B4C9B">
              <w:rPr>
                <w:rFonts w:ascii="EucrosiaUPC" w:eastAsia="Tahoma" w:hAnsi="EucrosiaUPC" w:cs="EucrosiaUPC"/>
                <w:sz w:val="32"/>
                <w:szCs w:val="32"/>
                <w:cs/>
              </w:rPr>
              <w:t>คดีที่อยู่ระหว่างการพิจารณาของศาล</w:t>
            </w:r>
          </w:p>
          <w:p w14:paraId="21DB1233" w14:textId="42F74DA8" w:rsidR="003B4C9B" w:rsidRPr="00AF278B" w:rsidRDefault="0002252D" w:rsidP="00AF27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3B4C9B">
              <w:rPr>
                <w:rFonts w:ascii="EucrosiaUPC" w:eastAsia="Tahoma" w:hAnsi="EucrosiaUPC" w:cs="EucrosiaUPC"/>
                <w:sz w:val="32"/>
                <w:szCs w:val="32"/>
                <w:cs/>
              </w:rPr>
              <w:t>การติดต่อจากหน่วยงานกำกับดูแลเกี่ยวกับการละเมิดหรือ</w:t>
            </w:r>
          </w:p>
          <w:p w14:paraId="5E559D0D" w14:textId="3A81C1AE" w:rsidR="003B4C9B" w:rsidRPr="00AF278B" w:rsidRDefault="0002252D" w:rsidP="00AF27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3B4C9B">
              <w:rPr>
                <w:rFonts w:ascii="EucrosiaUPC" w:eastAsia="Tahoma" w:hAnsi="EucrosiaUPC" w:cs="EucrosiaUPC"/>
                <w:sz w:val="32"/>
                <w:szCs w:val="32"/>
                <w:cs/>
              </w:rPr>
              <w:t>ความเป็นไปได้ที่จะเกิดการละเมิด</w:t>
            </w:r>
          </w:p>
          <w:p w14:paraId="5972F8EC" w14:textId="1EF00C9A" w:rsidR="0002252D" w:rsidRPr="00AF278B" w:rsidRDefault="0002252D" w:rsidP="00AF278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z w:val="32"/>
                <w:szCs w:val="32"/>
                <w:cs/>
              </w:rPr>
              <w:t>การรับประกันคุณภาพสินค้า</w:t>
            </w:r>
          </w:p>
          <w:p w14:paraId="6289795F" w14:textId="3DC51A5D" w:rsidR="003B4C9B" w:rsidRPr="007E5201" w:rsidRDefault="003B4C9B" w:rsidP="00AF278B">
            <w:pPr>
              <w:spacing w:after="0" w:line="240" w:lineRule="auto"/>
              <w:ind w:leftChars="0" w:left="0" w:firstLineChars="0" w:firstLine="312"/>
              <w:rPr>
                <w:rFonts w:ascii="EucrosiaUPC" w:eastAsia="Tahoma" w:hAnsi="EucrosiaUPC" w:cs="EucrosiaUPC"/>
                <w:sz w:val="32"/>
                <w:szCs w:val="32"/>
                <w:highlight w:val="yellow"/>
              </w:rPr>
            </w:pPr>
            <w:r>
              <w:rPr>
                <w:rFonts w:ascii="EucrosiaUPC" w:eastAsia="Tahoma" w:hAnsi="EucrosiaUPC" w:cs="EucrosiaUPC" w:hint="cs"/>
                <w:sz w:val="32"/>
                <w:szCs w:val="32"/>
                <w:cs/>
              </w:rPr>
              <w:t xml:space="preserve">-    </w:t>
            </w:r>
            <w:r w:rsidR="0002252D"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ภาระผูกพันในการซื้อ</w:t>
            </w:r>
          </w:p>
          <w:p w14:paraId="4C8BB9C4" w14:textId="4D913CD3" w:rsidR="0002252D" w:rsidRDefault="003B4C9B" w:rsidP="003B4C9B">
            <w:pPr>
              <w:spacing w:after="0" w:line="240" w:lineRule="auto"/>
              <w:ind w:leftChars="0" w:left="0" w:firstLineChars="0" w:firstLine="312"/>
              <w:rPr>
                <w:rFonts w:ascii="EucrosiaUPC" w:eastAsia="Tahoma" w:hAnsi="EucrosiaUPC" w:cs="EucrosiaUPC"/>
                <w:sz w:val="32"/>
                <w:szCs w:val="32"/>
              </w:rPr>
            </w:pPr>
            <w:r>
              <w:rPr>
                <w:rFonts w:ascii="EucrosiaUPC" w:eastAsia="Tahoma" w:hAnsi="EucrosiaUPC" w:cs="EucrosiaUPC" w:hint="cs"/>
                <w:sz w:val="32"/>
                <w:szCs w:val="32"/>
                <w:cs/>
              </w:rPr>
              <w:t xml:space="preserve">-    </w:t>
            </w:r>
            <w:r w:rsidR="0002252D"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ผลขาดทุนที่คาดว่าจะเกิดขึ้นจากสัญญาระยะยาว</w:t>
            </w:r>
          </w:p>
          <w:p w14:paraId="2D7B4A42" w14:textId="77777777" w:rsidR="00495DE7" w:rsidRPr="007E5201" w:rsidRDefault="00495DE7" w:rsidP="00AF278B">
            <w:pPr>
              <w:spacing w:after="0" w:line="240" w:lineRule="auto"/>
              <w:ind w:leftChars="0" w:left="0" w:firstLineChars="0" w:firstLine="312"/>
              <w:rPr>
                <w:rFonts w:ascii="EucrosiaUPC" w:eastAsia="Tahoma" w:hAnsi="EucrosiaUPC" w:cs="EucrosiaUPC"/>
                <w:sz w:val="32"/>
                <w:szCs w:val="32"/>
              </w:rPr>
            </w:pPr>
          </w:p>
          <w:p w14:paraId="276275C3" w14:textId="57D738BA" w:rsidR="004F106F" w:rsidRPr="007E5201" w:rsidRDefault="003B4C9B" w:rsidP="00AF278B">
            <w:pPr>
              <w:spacing w:after="0" w:line="240" w:lineRule="auto"/>
              <w:ind w:leftChars="1" w:left="593" w:firstLineChars="0" w:hanging="591"/>
              <w:rPr>
                <w:rFonts w:ascii="EucrosiaUPC" w:eastAsia="Tahoma" w:hAnsi="EucrosiaUPC" w:cs="EucrosiaUPC"/>
                <w:sz w:val="32"/>
                <w:szCs w:val="32"/>
              </w:rPr>
            </w:pPr>
            <w:r>
              <w:rPr>
                <w:rFonts w:ascii="EucrosiaUPC" w:eastAsia="Tahoma" w:hAnsi="EucrosiaUPC" w:cs="EucrosiaUPC" w:hint="cs"/>
                <w:sz w:val="32"/>
                <w:szCs w:val="32"/>
                <w:cs/>
              </w:rPr>
              <w:lastRenderedPageBreak/>
              <w:t xml:space="preserve">     -    </w:t>
            </w:r>
            <w:r w:rsidR="0002252D"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สัญญาเช่าระยะยาวที่มีเงื่อนไขในการชำระเงินเป็นจำนวนเงิน</w:t>
            </w:r>
          </w:p>
          <w:p w14:paraId="074C805A" w14:textId="77777777" w:rsidR="0002252D" w:rsidRPr="007E5201" w:rsidRDefault="004F106F" w:rsidP="00AF278B">
            <w:pPr>
              <w:spacing w:after="0" w:line="240" w:lineRule="auto"/>
              <w:ind w:leftChars="270" w:left="1185" w:firstLineChars="0" w:hanging="591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 xml:space="preserve">  </w:t>
            </w:r>
            <w:r w:rsidR="0002252D"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คงที่เป็นเวลาหลายปี</w:t>
            </w:r>
          </w:p>
          <w:p w14:paraId="1CE4AD40" w14:textId="76A81BBF" w:rsidR="0002252D" w:rsidRPr="007E5201" w:rsidRDefault="003B4C9B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  <w:r>
              <w:rPr>
                <w:rFonts w:ascii="EucrosiaUPC" w:eastAsia="Tahoma" w:hAnsi="EucrosiaUPC" w:cs="EucrosiaUPC" w:hint="cs"/>
                <w:sz w:val="32"/>
                <w:szCs w:val="32"/>
                <w:cs/>
              </w:rPr>
              <w:t xml:space="preserve">     -    </w:t>
            </w:r>
            <w:r w:rsidR="0002252D"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รายการที่เป็นตัวเงิน หรือสัญญาที่จัดทำกับสถาบันการเงิน</w:t>
            </w:r>
          </w:p>
          <w:p w14:paraId="0BD73EB4" w14:textId="2A3D68F9" w:rsidR="00C61080" w:rsidRPr="007E5201" w:rsidRDefault="003B4C9B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  <w:cs/>
              </w:rPr>
            </w:pPr>
            <w:r>
              <w:rPr>
                <w:rFonts w:ascii="EucrosiaUPC" w:eastAsia="Tahoma" w:hAnsi="EucrosiaUPC" w:cs="EucrosiaUPC" w:hint="cs"/>
                <w:sz w:val="32"/>
                <w:szCs w:val="32"/>
                <w:cs/>
              </w:rPr>
              <w:t xml:space="preserve">     -    </w:t>
            </w:r>
            <w:r w:rsidR="00C61080"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การทำสัญญาที่ยกเลิกไม่ได้</w:t>
            </w:r>
          </w:p>
          <w:p w14:paraId="5B8D39AF" w14:textId="77777777" w:rsidR="0002252D" w:rsidRPr="007E5201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  <w:p w14:paraId="53EAD48D" w14:textId="77777777" w:rsidR="0002252D" w:rsidRPr="007E5201" w:rsidRDefault="0002252D" w:rsidP="00AF278B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7E5201">
              <w:rPr>
                <w:rFonts w:ascii="EucrosiaUPC" w:eastAsia="Tahoma" w:hAnsi="EucrosiaUPC" w:cs="EucrosiaUPC"/>
                <w:sz w:val="32"/>
                <w:szCs w:val="32"/>
              </w:rPr>
              <w:t>3.</w:t>
            </w:r>
            <w:r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พิจารณาว่ามีภาระผูกพันหรือหนี้สินที่อาจเกิดขึ้นหรือไม่ที่ระบุได้จากรายงานการประชุม</w:t>
            </w:r>
          </w:p>
          <w:p w14:paraId="72E9073A" w14:textId="77777777" w:rsidR="0002252D" w:rsidRPr="007E5201" w:rsidRDefault="0002252D" w:rsidP="00AF278B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z w:val="32"/>
                <w:szCs w:val="32"/>
              </w:rPr>
            </w:pPr>
          </w:p>
          <w:p w14:paraId="70C72C63" w14:textId="77777777" w:rsidR="0002252D" w:rsidRPr="007E5201" w:rsidRDefault="0002252D" w:rsidP="00AF278B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7E5201">
              <w:rPr>
                <w:rFonts w:ascii="EucrosiaUPC" w:eastAsia="Tahoma" w:hAnsi="EucrosiaUPC" w:cs="EucrosiaUPC"/>
                <w:sz w:val="32"/>
                <w:szCs w:val="32"/>
              </w:rPr>
              <w:t xml:space="preserve">4. </w:t>
            </w:r>
            <w:r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พิจารณาว่ามีภาระผูกพันหรือหนี้สินที่อาจเกิดขึ้นหรือไม่ที่ระบุได้จากสัญญาเงินกู้</w:t>
            </w:r>
          </w:p>
          <w:p w14:paraId="23FEB698" w14:textId="77777777" w:rsidR="0002252D" w:rsidRPr="007E5201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  <w:p w14:paraId="7DAFBCF5" w14:textId="205BEA57" w:rsidR="0002252D" w:rsidRDefault="0002252D" w:rsidP="00DB3661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z w:val="32"/>
                <w:szCs w:val="32"/>
              </w:rPr>
            </w:pPr>
            <w:r w:rsidRPr="007E5201">
              <w:rPr>
                <w:rFonts w:ascii="EucrosiaUPC" w:eastAsia="Tahoma" w:hAnsi="EucrosiaUPC" w:cs="EucrosiaUPC"/>
                <w:sz w:val="32"/>
                <w:szCs w:val="32"/>
              </w:rPr>
              <w:t>5.</w:t>
            </w:r>
            <w:r w:rsidRPr="007E5201">
              <w:rPr>
                <w:rFonts w:ascii="EucrosiaUPC" w:eastAsia="Tahoma" w:hAnsi="EucrosiaUPC" w:cs="EucrosiaUPC"/>
                <w:sz w:val="32"/>
                <w:szCs w:val="32"/>
                <w:cs/>
              </w:rPr>
              <w:t>ขอหนังสือยืนยันจากทนายความหรือที่ปรึกษาด้านกฎหมายของบริษัทและประเมินผล</w:t>
            </w:r>
          </w:p>
          <w:p w14:paraId="0139C30E" w14:textId="1FFCB373" w:rsidR="00AB2FFF" w:rsidRDefault="00AB2FFF" w:rsidP="00DB3661">
            <w:pPr>
              <w:spacing w:after="0" w:line="240" w:lineRule="auto"/>
              <w:ind w:left="1" w:hanging="3"/>
              <w:jc w:val="thaiDistribute"/>
              <w:rPr>
                <w:rFonts w:ascii="EucrosiaUPC" w:eastAsia="Tahoma" w:hAnsi="EucrosiaUPC" w:cs="EucrosiaUPC"/>
                <w:sz w:val="32"/>
                <w:szCs w:val="32"/>
              </w:rPr>
            </w:pPr>
          </w:p>
          <w:p w14:paraId="22B20543" w14:textId="77777777" w:rsidR="00AB2FFF" w:rsidRPr="00AD62E2" w:rsidRDefault="00AB2FFF" w:rsidP="00AB2FFF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t xml:space="preserve">6. 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พิจารณาการส่งคำยืนยันไปยังสถาบันการเงินเกี่ยวกับ</w:t>
            </w:r>
            <w:r w:rsidRPr="00AD62E2">
              <w:rPr>
                <w:rFonts w:ascii="EucrosiaUPC" w:eastAsia="Tahoma" w:hAnsi="EucrosiaUPC" w:cs="EucrosiaUPC" w:hint="cs"/>
                <w:spacing w:val="-4"/>
                <w:sz w:val="32"/>
                <w:szCs w:val="32"/>
                <w:cs/>
              </w:rPr>
              <w:t>ภาระผูกพันหรือหนี้สินที่อาจเกิดขึ้น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 xml:space="preserve"> รวมถึงบันทึก</w:t>
            </w:r>
            <w:r w:rsidRPr="00AD62E2">
              <w:rPr>
                <w:rFonts w:ascii="EucrosiaUPC" w:eastAsia="Tahoma" w:hAnsi="EucrosiaUPC" w:cs="EucrosiaUPC" w:hint="cs"/>
                <w:spacing w:val="-4"/>
                <w:sz w:val="32"/>
                <w:szCs w:val="32"/>
                <w:cs/>
              </w:rPr>
              <w:t>รายการที่เลือกเพื่อส่งคำยืนยัน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และจัดเก็บคำยืนยันยอดที่ได้รับกลับมา</w:t>
            </w:r>
          </w:p>
          <w:p w14:paraId="22809496" w14:textId="77777777" w:rsidR="00AB2FFF" w:rsidRPr="00AD62E2" w:rsidRDefault="00AB2FFF" w:rsidP="00AB2FFF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39D10FA4" w14:textId="77777777" w:rsidR="00AB2FFF" w:rsidRPr="00AD62E2" w:rsidRDefault="00AB2FFF" w:rsidP="00AB2FFF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t>7.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สอบทานคำยืนยัน</w:t>
            </w:r>
            <w:r w:rsidRPr="00AD62E2">
              <w:rPr>
                <w:rFonts w:ascii="EucrosiaUPC" w:eastAsia="Tahoma" w:hAnsi="EucrosiaUPC" w:cs="EucrosiaUPC" w:hint="cs"/>
                <w:spacing w:val="-4"/>
                <w:sz w:val="32"/>
                <w:szCs w:val="32"/>
                <w:cs/>
              </w:rPr>
              <w:t>ที่ได้รับ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จากบุคคลภายนอก เช่น ธนาคาร เพื่อตรวจหาการค้ำประกันแก่กิจการอื่น หรือ</w:t>
            </w:r>
            <w:r w:rsidRPr="00AD62E2">
              <w:rPr>
                <w:rFonts w:ascii="EucrosiaUPC" w:eastAsia="Tahoma" w:hAnsi="EucrosiaUPC" w:cs="EucrosiaUPC" w:hint="cs"/>
                <w:spacing w:val="-4"/>
                <w:sz w:val="32"/>
                <w:szCs w:val="32"/>
                <w:cs/>
              </w:rPr>
              <w:t>ภาระผูกพัน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และหนี้สินที่อาจเกิดขึ้น</w:t>
            </w:r>
          </w:p>
          <w:p w14:paraId="2451D58E" w14:textId="77777777" w:rsidR="00AB2FFF" w:rsidRPr="00AD62E2" w:rsidRDefault="00AB2FFF" w:rsidP="00AB2FFF">
            <w:pPr>
              <w:spacing w:after="0" w:line="240" w:lineRule="auto"/>
              <w:ind w:leftChars="0" w:left="0" w:firstLineChars="0" w:firstLine="0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  <w:p w14:paraId="727A6D4B" w14:textId="77777777" w:rsidR="00AB2FFF" w:rsidRPr="00AD62E2" w:rsidRDefault="00AB2FFF" w:rsidP="00AB2FFF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  <w:t>8.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สรุปผลการตรวจสอบในกระดาษทำการเกี่ยวกับ</w:t>
            </w:r>
            <w:r w:rsidRPr="00AD62E2">
              <w:rPr>
                <w:rFonts w:ascii="EucrosiaUPC" w:eastAsia="Tahoma" w:hAnsi="EucrosiaUPC" w:cs="EucrosiaUPC" w:hint="cs"/>
                <w:spacing w:val="-4"/>
                <w:sz w:val="32"/>
                <w:szCs w:val="32"/>
                <w:cs/>
              </w:rPr>
              <w:t>ภาระผูกพันหรือ</w:t>
            </w:r>
            <w:r w:rsidRPr="00AD62E2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หนี้สินที่อาจเกิดขึ้นที่มีนัยสำคัญ เพื่อเปิดเผยในหมายเหตุประกอบงบการเงิน</w:t>
            </w:r>
          </w:p>
          <w:p w14:paraId="59F0F7BE" w14:textId="77777777" w:rsidR="0002252D" w:rsidRPr="007E5201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5D0DDE" w14:textId="77777777" w:rsidR="0002252D" w:rsidRPr="00620EEB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1518" w:type="dxa"/>
          </w:tcPr>
          <w:p w14:paraId="68E9A8F4" w14:textId="77777777" w:rsidR="0002252D" w:rsidRPr="00620EEB" w:rsidRDefault="0002252D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</w:tr>
      <w:tr w:rsidR="000C2378" w:rsidRPr="00620EEB" w14:paraId="0E223606" w14:textId="77777777" w:rsidTr="00AF278B">
        <w:tc>
          <w:tcPr>
            <w:tcW w:w="993" w:type="dxa"/>
          </w:tcPr>
          <w:p w14:paraId="39AB06D5" w14:textId="77777777" w:rsidR="000C2378" w:rsidRPr="00620EEB" w:rsidRDefault="000C2378">
            <w:pPr>
              <w:spacing w:after="0" w:line="240" w:lineRule="auto"/>
              <w:ind w:left="1" w:hanging="3"/>
              <w:jc w:val="center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6237" w:type="dxa"/>
          </w:tcPr>
          <w:p w14:paraId="7131E282" w14:textId="77777777" w:rsidR="000C2378" w:rsidRPr="00AF278B" w:rsidRDefault="000C2378" w:rsidP="00AF278B">
            <w:pPr>
              <w:spacing w:before="120" w:after="120" w:line="240" w:lineRule="auto"/>
              <w:ind w:leftChars="0" w:left="3" w:hanging="3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b/>
                <w:bCs/>
                <w:spacing w:val="-4"/>
                <w:sz w:val="32"/>
                <w:szCs w:val="32"/>
                <w:cs/>
              </w:rPr>
              <w:t>หนังสือรับรอง</w:t>
            </w:r>
          </w:p>
          <w:p w14:paraId="42A15578" w14:textId="04718ED9" w:rsidR="000C2378" w:rsidRDefault="00FF78C8" w:rsidP="000C2378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ขอให้ผู้บริหารจัดทำหนังสือรับรองว่า เหตุการณ์ภายหลังวันที่ใน</w:t>
            </w:r>
            <w:r w:rsidR="00DC5381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br/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งบการเงินทุกรายการ ซึ่งต้องปรับปรุงรายการหรือเปิดเผยข้อมูลใน</w:t>
            </w:r>
            <w:r w:rsidR="00DC5381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br/>
            </w:r>
            <w:r w:rsidRPr="00AF278B">
              <w:rPr>
                <w:rFonts w:ascii="EucrosiaUPC" w:eastAsia="Tahoma" w:hAnsi="EucrosiaUPC" w:cs="EucrosiaUPC"/>
                <w:spacing w:val="-4"/>
                <w:sz w:val="32"/>
                <w:szCs w:val="32"/>
                <w:cs/>
              </w:rPr>
              <w:t>งบการเงิน ได้มีการปรับปรุงหรือเปิดเผยข้อมูลแล้ว</w:t>
            </w:r>
          </w:p>
          <w:p w14:paraId="21CB79DC" w14:textId="4258C39F" w:rsidR="00495DE7" w:rsidRPr="00AF278B" w:rsidRDefault="00495DE7" w:rsidP="000C2378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pacing w:val="-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0E9E4D" w14:textId="77777777" w:rsidR="000C2378" w:rsidRPr="00620EEB" w:rsidRDefault="000C2378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  <w:tc>
          <w:tcPr>
            <w:tcW w:w="1518" w:type="dxa"/>
          </w:tcPr>
          <w:p w14:paraId="49DBBE59" w14:textId="77777777" w:rsidR="000C2378" w:rsidRPr="00620EEB" w:rsidRDefault="000C2378">
            <w:pPr>
              <w:spacing w:after="0" w:line="240" w:lineRule="auto"/>
              <w:ind w:left="1" w:hanging="3"/>
              <w:rPr>
                <w:rFonts w:ascii="EucrosiaUPC" w:eastAsia="Tahoma" w:hAnsi="EucrosiaUPC" w:cs="EucrosiaUPC"/>
                <w:sz w:val="32"/>
                <w:szCs w:val="32"/>
              </w:rPr>
            </w:pPr>
          </w:p>
        </w:tc>
      </w:tr>
    </w:tbl>
    <w:p w14:paraId="1AF6BDA4" w14:textId="77777777" w:rsidR="00511F39" w:rsidRPr="00620EEB" w:rsidRDefault="00511F39">
      <w:pPr>
        <w:ind w:left="1" w:hanging="3"/>
        <w:rPr>
          <w:rFonts w:ascii="EucrosiaUPC" w:eastAsia="Tahoma" w:hAnsi="EucrosiaUPC" w:cs="EucrosiaUPC"/>
          <w:sz w:val="32"/>
          <w:szCs w:val="32"/>
        </w:rPr>
      </w:pPr>
    </w:p>
    <w:sectPr w:rsidR="00511F39" w:rsidRPr="00620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15F31" w14:textId="77777777" w:rsidR="00FC3B39" w:rsidRDefault="00FC3B39" w:rsidP="003574B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7B5102" w14:textId="77777777" w:rsidR="00FC3B39" w:rsidRDefault="00FC3B39" w:rsidP="003574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18D88" w14:textId="77777777" w:rsidR="003574BE" w:rsidRDefault="003574B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04FD" w14:textId="6414E514" w:rsidR="003574BE" w:rsidRDefault="007E5201" w:rsidP="00AF278B">
    <w:pPr>
      <w:pStyle w:val="Footer"/>
      <w:ind w:leftChars="0" w:left="0" w:firstLineChars="0" w:firstLine="0"/>
    </w:pPr>
    <w:r w:rsidRPr="007E5201">
      <w:rPr>
        <w:rFonts w:ascii="EucrosiaUPC" w:eastAsia="Tahoma" w:hAnsi="EucrosiaUPC" w:cs="EucrosiaUPC"/>
        <w:sz w:val="28"/>
        <w:cs/>
      </w:rPr>
      <w:t>เหตุการณ์ภายหลังวันที่ในงบการเงิน (</w:t>
    </w:r>
    <w:r w:rsidRPr="007E5201">
      <w:rPr>
        <w:rFonts w:ascii="EucrosiaUPC" w:eastAsia="Tahoma" w:hAnsi="EucrosiaUPC" w:cs="EucrosiaUPC"/>
        <w:sz w:val="28"/>
      </w:rPr>
      <w:t>Subsequent Events)</w:t>
    </w:r>
    <w:sdt>
      <w:sdtPr>
        <w:rPr>
          <w:rFonts w:ascii="EucrosiaUPC" w:hAnsi="EucrosiaUPC" w:cs="EucrosiaUPC"/>
          <w:sz w:val="28"/>
        </w:rPr>
        <w:id w:val="6496375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EucrosiaUPC" w:hAnsi="EucrosiaUPC" w:cs="EucrosiaUPC"/>
              <w:sz w:val="2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E5201">
              <w:rPr>
                <w:rFonts w:ascii="EucrosiaUPC" w:hAnsi="EucrosiaUPC" w:cs="EucrosiaUPC"/>
                <w:sz w:val="28"/>
              </w:rPr>
              <w:t xml:space="preserve"> </w:t>
            </w:r>
            <w:r w:rsidRPr="007E5201">
              <w:rPr>
                <w:rFonts w:ascii="EucrosiaUPC" w:hAnsi="EucrosiaUPC" w:cs="EucrosiaUPC"/>
                <w:sz w:val="28"/>
              </w:rPr>
              <w:tab/>
            </w:r>
            <w:r w:rsidRPr="007E5201">
              <w:rPr>
                <w:rFonts w:ascii="EucrosiaUPC" w:hAnsi="EucrosiaUPC" w:cs="EucrosiaUPC"/>
                <w:sz w:val="28"/>
              </w:rPr>
              <w:tab/>
            </w:r>
            <w:r w:rsidRPr="007E5201">
              <w:rPr>
                <w:rFonts w:ascii="EucrosiaUPC" w:hAnsi="EucrosiaUPC" w:cs="EucrosiaUPC"/>
                <w:sz w:val="28"/>
                <w:cs/>
              </w:rPr>
              <w:t>หน้า</w:t>
            </w:r>
            <w:r w:rsidRPr="007E5201">
              <w:rPr>
                <w:rFonts w:ascii="EucrosiaUPC" w:hAnsi="EucrosiaUPC" w:cs="EucrosiaUPC"/>
                <w:sz w:val="28"/>
              </w:rPr>
              <w:t xml:space="preserve"> </w:t>
            </w:r>
            <w:r w:rsidRPr="00AF278B">
              <w:rPr>
                <w:rFonts w:ascii="EucrosiaUPC" w:hAnsi="EucrosiaUPC" w:cs="EucrosiaUPC"/>
                <w:b/>
                <w:bCs/>
                <w:sz w:val="28"/>
              </w:rPr>
              <w:fldChar w:fldCharType="begin"/>
            </w:r>
            <w:r w:rsidRPr="007E5201">
              <w:rPr>
                <w:rFonts w:ascii="EucrosiaUPC" w:hAnsi="EucrosiaUPC" w:cs="EucrosiaUPC"/>
                <w:b/>
                <w:bCs/>
                <w:sz w:val="28"/>
              </w:rPr>
              <w:instrText xml:space="preserve"> PAGE </w:instrText>
            </w:r>
            <w:r w:rsidRPr="00AF278B">
              <w:rPr>
                <w:rFonts w:ascii="EucrosiaUPC" w:hAnsi="EucrosiaUPC" w:cs="EucrosiaUPC"/>
                <w:b/>
                <w:bCs/>
                <w:sz w:val="28"/>
              </w:rPr>
              <w:fldChar w:fldCharType="separate"/>
            </w:r>
            <w:r w:rsidRPr="007E5201">
              <w:rPr>
                <w:rFonts w:ascii="EucrosiaUPC" w:hAnsi="EucrosiaUPC" w:cs="EucrosiaUPC"/>
                <w:b/>
                <w:bCs/>
                <w:sz w:val="28"/>
              </w:rPr>
              <w:t>1</w:t>
            </w:r>
            <w:r w:rsidRPr="00AF278B">
              <w:rPr>
                <w:rFonts w:ascii="EucrosiaUPC" w:hAnsi="EucrosiaUPC" w:cs="EucrosiaUPC"/>
                <w:b/>
                <w:bCs/>
                <w:sz w:val="28"/>
              </w:rPr>
              <w:fldChar w:fldCharType="end"/>
            </w:r>
            <w:r w:rsidRPr="007E5201">
              <w:rPr>
                <w:rFonts w:ascii="EucrosiaUPC" w:hAnsi="EucrosiaUPC" w:cs="EucrosiaUPC"/>
                <w:sz w:val="28"/>
                <w:cs/>
              </w:rPr>
              <w:t>/</w:t>
            </w:r>
            <w:r w:rsidRPr="00AF278B">
              <w:rPr>
                <w:rFonts w:ascii="EucrosiaUPC" w:hAnsi="EucrosiaUPC" w:cs="EucrosiaUPC"/>
                <w:b/>
                <w:bCs/>
                <w:sz w:val="28"/>
              </w:rPr>
              <w:fldChar w:fldCharType="begin"/>
            </w:r>
            <w:r w:rsidRPr="007E5201">
              <w:rPr>
                <w:rFonts w:ascii="EucrosiaUPC" w:hAnsi="EucrosiaUPC" w:cs="EucrosiaUPC"/>
                <w:b/>
                <w:bCs/>
                <w:sz w:val="28"/>
              </w:rPr>
              <w:instrText xml:space="preserve"> NUMPAGES  </w:instrText>
            </w:r>
            <w:r w:rsidRPr="00AF278B">
              <w:rPr>
                <w:rFonts w:ascii="EucrosiaUPC" w:hAnsi="EucrosiaUPC" w:cs="EucrosiaUPC"/>
                <w:b/>
                <w:bCs/>
                <w:sz w:val="28"/>
              </w:rPr>
              <w:fldChar w:fldCharType="separate"/>
            </w:r>
            <w:r w:rsidRPr="007E5201">
              <w:rPr>
                <w:rFonts w:ascii="EucrosiaUPC" w:hAnsi="EucrosiaUPC" w:cs="EucrosiaUPC"/>
                <w:b/>
                <w:bCs/>
                <w:sz w:val="28"/>
              </w:rPr>
              <w:t>3</w:t>
            </w:r>
            <w:r w:rsidRPr="00AF278B">
              <w:rPr>
                <w:rFonts w:ascii="EucrosiaUPC" w:hAnsi="EucrosiaUPC" w:cs="EucrosiaUPC"/>
                <w:b/>
                <w:bCs/>
                <w:sz w:val="2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C779F" w14:textId="77777777" w:rsidR="003574BE" w:rsidRDefault="003574B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15570" w14:textId="77777777" w:rsidR="00FC3B39" w:rsidRDefault="00FC3B39" w:rsidP="003574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96D932A" w14:textId="77777777" w:rsidR="00FC3B39" w:rsidRDefault="00FC3B39" w:rsidP="003574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8703" w14:textId="77777777" w:rsidR="003574BE" w:rsidRDefault="003574B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s/>
      </w:rPr>
      <w:id w:val="-963423466"/>
      <w:docPartObj>
        <w:docPartGallery w:val="Watermarks"/>
        <w:docPartUnique/>
      </w:docPartObj>
    </w:sdtPr>
    <w:sdtEndPr/>
    <w:sdtContent>
      <w:p w14:paraId="4A0E037A" w14:textId="33872959" w:rsidR="003574BE" w:rsidRDefault="00F02D31">
        <w:pPr>
          <w:pStyle w:val="Header"/>
          <w:ind w:left="1" w:hanging="3"/>
        </w:pPr>
        <w:r>
          <w:rPr>
            <w:noProof/>
          </w:rPr>
          <w:pict w14:anchorId="737738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24F10" w14:textId="77777777" w:rsidR="003574BE" w:rsidRDefault="003574B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5302"/>
    <w:multiLevelType w:val="multilevel"/>
    <w:tmpl w:val="946C8B7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1007D2"/>
    <w:multiLevelType w:val="hybridMultilevel"/>
    <w:tmpl w:val="7AFEFF6C"/>
    <w:lvl w:ilvl="0" w:tplc="0F824C1C">
      <w:start w:val="1"/>
      <w:numFmt w:val="bullet"/>
      <w:lvlText w:val="-"/>
      <w:lvlJc w:val="left"/>
      <w:pPr>
        <w:ind w:left="718" w:hanging="360"/>
      </w:pPr>
      <w:rPr>
        <w:rFonts w:ascii="EucrosiaUPC" w:hAnsi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C0D"/>
    <w:multiLevelType w:val="multilevel"/>
    <w:tmpl w:val="6916C79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D4E7894"/>
    <w:multiLevelType w:val="hybridMultilevel"/>
    <w:tmpl w:val="841A3FBA"/>
    <w:lvl w:ilvl="0" w:tplc="EC24BA6E">
      <w:start w:val="1"/>
      <w:numFmt w:val="thaiLetters"/>
      <w:lvlText w:val="%1."/>
      <w:lvlJc w:val="left"/>
      <w:pPr>
        <w:ind w:left="2160" w:hanging="360"/>
      </w:pPr>
      <w:rPr>
        <w:rFonts w:cs="Cordia New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5071D08"/>
    <w:multiLevelType w:val="multilevel"/>
    <w:tmpl w:val="F6F251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2004"/>
      <w:numFmt w:val="decimal"/>
      <w:lvlText w:val="%3"/>
      <w:lvlJc w:val="left"/>
      <w:pPr>
        <w:ind w:left="4140" w:hanging="2160"/>
      </w:pPr>
      <w:rPr>
        <w:u w:val="singl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F5B3909"/>
    <w:multiLevelType w:val="multilevel"/>
    <w:tmpl w:val="850A4A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CA10AA1"/>
    <w:multiLevelType w:val="hybridMultilevel"/>
    <w:tmpl w:val="1AAA33E6"/>
    <w:lvl w:ilvl="0" w:tplc="3DC28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4C7"/>
    <w:multiLevelType w:val="multilevel"/>
    <w:tmpl w:val="D3C83E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49128E9"/>
    <w:multiLevelType w:val="multilevel"/>
    <w:tmpl w:val="7B362F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4FC2B11"/>
    <w:multiLevelType w:val="multilevel"/>
    <w:tmpl w:val="E50A37F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EF142CF"/>
    <w:multiLevelType w:val="hybridMultilevel"/>
    <w:tmpl w:val="A2C2644A"/>
    <w:lvl w:ilvl="0" w:tplc="30347FC8">
      <w:start w:val="1"/>
      <w:numFmt w:val="thaiLetters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39"/>
    <w:rsid w:val="000033F4"/>
    <w:rsid w:val="00006F93"/>
    <w:rsid w:val="0002252D"/>
    <w:rsid w:val="000B171B"/>
    <w:rsid w:val="000C2378"/>
    <w:rsid w:val="00126AA0"/>
    <w:rsid w:val="001517D7"/>
    <w:rsid w:val="0016326B"/>
    <w:rsid w:val="00187FCE"/>
    <w:rsid w:val="001A5CF7"/>
    <w:rsid w:val="002155A3"/>
    <w:rsid w:val="002912FD"/>
    <w:rsid w:val="002E6E38"/>
    <w:rsid w:val="00305D10"/>
    <w:rsid w:val="003277C5"/>
    <w:rsid w:val="003424EC"/>
    <w:rsid w:val="003467C6"/>
    <w:rsid w:val="003574BE"/>
    <w:rsid w:val="003867ED"/>
    <w:rsid w:val="003B4C9B"/>
    <w:rsid w:val="00403BFE"/>
    <w:rsid w:val="00495B8A"/>
    <w:rsid w:val="00495DE7"/>
    <w:rsid w:val="004F106F"/>
    <w:rsid w:val="00511F39"/>
    <w:rsid w:val="005669DE"/>
    <w:rsid w:val="00603DB3"/>
    <w:rsid w:val="006149DA"/>
    <w:rsid w:val="00620EEB"/>
    <w:rsid w:val="0064530C"/>
    <w:rsid w:val="0064641D"/>
    <w:rsid w:val="006C0473"/>
    <w:rsid w:val="006E2F41"/>
    <w:rsid w:val="007066F1"/>
    <w:rsid w:val="0076770A"/>
    <w:rsid w:val="00783FBE"/>
    <w:rsid w:val="007A16BC"/>
    <w:rsid w:val="007E5201"/>
    <w:rsid w:val="00800193"/>
    <w:rsid w:val="00813E9A"/>
    <w:rsid w:val="0081740D"/>
    <w:rsid w:val="00880274"/>
    <w:rsid w:val="008C71D4"/>
    <w:rsid w:val="009048EB"/>
    <w:rsid w:val="009051F4"/>
    <w:rsid w:val="00934551"/>
    <w:rsid w:val="00942E04"/>
    <w:rsid w:val="00A450BF"/>
    <w:rsid w:val="00AB2FFF"/>
    <w:rsid w:val="00AF278B"/>
    <w:rsid w:val="00B320DA"/>
    <w:rsid w:val="00C05913"/>
    <w:rsid w:val="00C517A6"/>
    <w:rsid w:val="00C61080"/>
    <w:rsid w:val="00D02E91"/>
    <w:rsid w:val="00D54DBF"/>
    <w:rsid w:val="00DB3661"/>
    <w:rsid w:val="00DC5381"/>
    <w:rsid w:val="00E42C4B"/>
    <w:rsid w:val="00E67F63"/>
    <w:rsid w:val="00EF3838"/>
    <w:rsid w:val="00F02D31"/>
    <w:rsid w:val="00F565FD"/>
    <w:rsid w:val="00FC3B39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909028"/>
  <w15:docId w15:val="{F3A517E1-6BE2-40E8-8138-6403EBE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303030"/>
      <w:w w:val="100"/>
      <w:position w:val="-1"/>
      <w:u w:val="non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1740D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74BE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574BE"/>
    <w:rPr>
      <w:rFonts w:cs="Angsana New"/>
      <w:position w:val="-1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74BE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574BE"/>
    <w:rPr>
      <w:rFonts w:cs="Angsana New"/>
      <w:position w:val="-1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1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71B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71B"/>
    <w:rPr>
      <w:rFonts w:cs="Angsana New"/>
      <w:position w:val="-1"/>
      <w:sz w:val="20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71B"/>
    <w:rPr>
      <w:rFonts w:cs="Angsana New"/>
      <w:b/>
      <w:bCs/>
      <w:position w:val="-1"/>
      <w:sz w:val="20"/>
      <w:szCs w:val="25"/>
      <w:lang w:eastAsia="en-US"/>
    </w:rPr>
  </w:style>
  <w:style w:type="paragraph" w:styleId="Revision">
    <w:name w:val="Revision"/>
    <w:hidden/>
    <w:uiPriority w:val="99"/>
    <w:semiHidden/>
    <w:rsid w:val="000B171B"/>
    <w:pPr>
      <w:spacing w:after="0" w:line="240" w:lineRule="auto"/>
    </w:pPr>
    <w:rPr>
      <w:rFonts w:cs="Angsana New"/>
      <w:position w:val="-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LHwEoamL8U+iZaDBLCm3wCC3g==">AMUW2mWqVL9n44BDyBjbFeLpK2pe/iXYCFvzzWt9vGavfigGkJUCO1EbenSm/LZ+JNcdB8qSgplt2Ez+h2IyYLNPi0M8mkfnmI42fh1M4LhkoSg25f/B1cc=</go:docsCustomData>
</go:gDocsCustomXmlDataStorage>
</file>

<file path=customXml/itemProps1.xml><?xml version="1.0" encoding="utf-8"?>
<ds:datastoreItem xmlns:ds="http://schemas.openxmlformats.org/officeDocument/2006/customXml" ds:itemID="{22D3F3F3-AD86-40E5-B4CF-266C6D301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mana.sr</dc:creator>
  <cp:lastModifiedBy>Areerat Amonvinit</cp:lastModifiedBy>
  <cp:revision>29</cp:revision>
  <cp:lastPrinted>2020-07-29T05:03:00Z</cp:lastPrinted>
  <dcterms:created xsi:type="dcterms:W3CDTF">2020-06-13T04:53:00Z</dcterms:created>
  <dcterms:modified xsi:type="dcterms:W3CDTF">2020-07-29T05:03:00Z</dcterms:modified>
</cp:coreProperties>
</file>